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B01A21" w14:textId="77777777" w:rsidR="001D7C10" w:rsidRDefault="00DD4CEF" w:rsidP="00DD4CEF">
      <w:pPr>
        <w:pStyle w:val="Body"/>
        <w:spacing w:after="0" w:line="480" w:lineRule="auto"/>
        <w:jc w:val="center"/>
        <w:rPr>
          <w:rFonts w:ascii="Bahnschrift SemiBold" w:eastAsia="Bahnschrift SemiBold" w:hAnsi="Bahnschrift SemiBold" w:cs="Bahnschrift SemiBold"/>
          <w:color w:val="2F5496"/>
          <w:sz w:val="44"/>
          <w:szCs w:val="44"/>
          <w:u w:color="2F5496"/>
        </w:rPr>
      </w:pPr>
      <w:r>
        <w:rPr>
          <w:rFonts w:ascii="Bahnschrift SemiBold" w:eastAsia="Bahnschrift SemiBold" w:hAnsi="Bahnschrift SemiBold" w:cs="Bahnschrift SemiBold"/>
          <w:color w:val="2F5496"/>
          <w:sz w:val="44"/>
          <w:szCs w:val="44"/>
          <w:u w:color="2F5496"/>
        </w:rPr>
        <w:t>A Brief Guide to</w:t>
      </w:r>
      <w:bookmarkStart w:id="0" w:name="_GoBack"/>
      <w:bookmarkEnd w:id="0"/>
      <w:r>
        <w:rPr>
          <w:rFonts w:ascii="Bahnschrift SemiBold" w:eastAsia="Bahnschrift SemiBold" w:hAnsi="Bahnschrift SemiBold" w:cs="Bahnschrift SemiBold"/>
          <w:color w:val="2F5496"/>
          <w:sz w:val="44"/>
          <w:szCs w:val="44"/>
          <w:u w:color="2F5496"/>
        </w:rPr>
        <w:t xml:space="preserve"> Philosophy of Mind </w:t>
      </w:r>
    </w:p>
    <w:p w14:paraId="6DE735BC" w14:textId="17F4ABAA" w:rsidR="001D7C10" w:rsidRDefault="00DD4CEF" w:rsidP="00D865DC">
      <w:pPr>
        <w:pStyle w:val="Body"/>
        <w:spacing w:line="276" w:lineRule="auto"/>
        <w:ind w:firstLine="720"/>
        <w:jc w:val="both"/>
        <w:rPr>
          <w:rFonts w:ascii="Times New Roman" w:eastAsia="Times New Roman" w:hAnsi="Times New Roman" w:cs="Times New Roman"/>
          <w:sz w:val="23"/>
          <w:szCs w:val="23"/>
        </w:rPr>
      </w:pPr>
      <w:r>
        <w:rPr>
          <w:rFonts w:ascii="Times New Roman" w:hAnsi="Times New Roman"/>
          <w:sz w:val="23"/>
          <w:szCs w:val="23"/>
        </w:rPr>
        <w:t xml:space="preserve">Questions about how the mind and body are linked have been asked for thousands of years, with philosophers, theologians and scientists falling on different sides of the debate between dualism and materialism. As well as helping philosophers to understand how the mind works, the debate also feeds into other questions: What makes someone conscious? What constitutes identity? Can there be life after death? </w:t>
      </w:r>
    </w:p>
    <w:p w14:paraId="1880F04A" w14:textId="206A5B39" w:rsidR="001D7C10" w:rsidRPr="00506155" w:rsidRDefault="00D865DC" w:rsidP="00D865DC">
      <w:pPr>
        <w:pStyle w:val="Body"/>
        <w:spacing w:line="276" w:lineRule="auto"/>
        <w:ind w:firstLine="720"/>
        <w:jc w:val="both"/>
        <w:rPr>
          <w:rFonts w:ascii="Times New Roman" w:hAnsi="Times New Roman"/>
          <w:sz w:val="23"/>
          <w:szCs w:val="23"/>
        </w:rPr>
      </w:pPr>
      <w:r>
        <w:rPr>
          <w:noProof/>
          <w:sz w:val="23"/>
          <w:szCs w:val="23"/>
        </w:rPr>
        <w:drawing>
          <wp:anchor distT="57150" distB="57150" distL="57150" distR="57150" simplePos="0" relativeHeight="251659264" behindDoc="0" locked="0" layoutInCell="1" allowOverlap="1" wp14:anchorId="726DEF92" wp14:editId="738A896A">
            <wp:simplePos x="0" y="0"/>
            <wp:positionH relativeFrom="column">
              <wp:posOffset>4060825</wp:posOffset>
            </wp:positionH>
            <wp:positionV relativeFrom="line">
              <wp:posOffset>95250</wp:posOffset>
            </wp:positionV>
            <wp:extent cx="1619250" cy="1978661"/>
            <wp:effectExtent l="0" t="0" r="0" b="0"/>
            <wp:wrapSquare wrapText="bothSides" distT="57150" distB="57150" distL="57150" distR="57150"/>
            <wp:docPr id="1073741827" name="officeArt object" descr="Image result for descartes"/>
            <wp:cNvGraphicFramePr/>
            <a:graphic xmlns:a="http://schemas.openxmlformats.org/drawingml/2006/main">
              <a:graphicData uri="http://schemas.openxmlformats.org/drawingml/2006/picture">
                <pic:pic xmlns:pic="http://schemas.openxmlformats.org/drawingml/2006/picture">
                  <pic:nvPicPr>
                    <pic:cNvPr id="1073741827" name="Image result for descartes" descr="Image result for descartes"/>
                    <pic:cNvPicPr>
                      <a:picLocks noChangeAspect="1"/>
                    </pic:cNvPicPr>
                  </pic:nvPicPr>
                  <pic:blipFill>
                    <a:blip r:embed="rId7"/>
                    <a:stretch>
                      <a:fillRect/>
                    </a:stretch>
                  </pic:blipFill>
                  <pic:spPr>
                    <a:xfrm>
                      <a:off x="0" y="0"/>
                      <a:ext cx="1619250" cy="1978661"/>
                    </a:xfrm>
                    <a:prstGeom prst="rect">
                      <a:avLst/>
                    </a:prstGeom>
                    <a:ln w="12700" cap="flat">
                      <a:noFill/>
                      <a:miter lim="400000"/>
                    </a:ln>
                    <a:effectLst/>
                  </pic:spPr>
                </pic:pic>
              </a:graphicData>
            </a:graphic>
          </wp:anchor>
        </w:drawing>
      </w:r>
      <w:r w:rsidR="00DD4CEF">
        <w:rPr>
          <w:rFonts w:ascii="Times New Roman" w:hAnsi="Times New Roman"/>
          <w:sz w:val="23"/>
          <w:szCs w:val="23"/>
        </w:rPr>
        <w:t xml:space="preserve">Broadly, </w:t>
      </w:r>
      <w:r w:rsidR="00DD4CEF">
        <w:rPr>
          <w:rFonts w:ascii="Times New Roman" w:hAnsi="Times New Roman"/>
          <w:b/>
          <w:bCs/>
          <w:sz w:val="23"/>
          <w:szCs w:val="23"/>
        </w:rPr>
        <w:t xml:space="preserve">dualism </w:t>
      </w:r>
      <w:r w:rsidR="00406DE1">
        <w:rPr>
          <w:rFonts w:ascii="Times New Roman" w:hAnsi="Times New Roman"/>
          <w:sz w:val="23"/>
          <w:szCs w:val="23"/>
        </w:rPr>
        <w:t>is</w:t>
      </w:r>
      <w:r w:rsidR="00DD4CEF">
        <w:rPr>
          <w:rFonts w:ascii="Times New Roman" w:hAnsi="Times New Roman"/>
          <w:sz w:val="23"/>
          <w:szCs w:val="23"/>
        </w:rPr>
        <w:t xml:space="preserve"> the view that the mind exists </w:t>
      </w:r>
      <w:proofErr w:type="spellStart"/>
      <w:r w:rsidR="00406DE1" w:rsidRPr="00406DE1">
        <w:rPr>
          <w:rFonts w:ascii="Times New Roman" w:hAnsi="Times New Roman"/>
          <w:sz w:val="23"/>
          <w:szCs w:val="23"/>
          <w:lang w:val="es-ES_tradnl"/>
        </w:rPr>
        <w:t>independently</w:t>
      </w:r>
      <w:proofErr w:type="spellEnd"/>
      <w:r w:rsidR="00DD4CEF">
        <w:rPr>
          <w:rFonts w:ascii="Times New Roman" w:hAnsi="Times New Roman"/>
          <w:sz w:val="23"/>
          <w:szCs w:val="23"/>
        </w:rPr>
        <w:t xml:space="preserve"> of the body</w:t>
      </w:r>
      <w:r w:rsidR="00D2723D">
        <w:rPr>
          <w:rFonts w:ascii="Times New Roman" w:hAnsi="Times New Roman"/>
          <w:sz w:val="23"/>
          <w:szCs w:val="23"/>
        </w:rPr>
        <w:t>.</w:t>
      </w:r>
      <w:r w:rsidR="00406DE1">
        <w:rPr>
          <w:rFonts w:ascii="Times New Roman" w:hAnsi="Times New Roman"/>
          <w:sz w:val="23"/>
          <w:szCs w:val="23"/>
        </w:rPr>
        <w:t xml:space="preserve"> According to dualists, th</w:t>
      </w:r>
      <w:r w:rsidR="00D2723D">
        <w:rPr>
          <w:rFonts w:ascii="Times New Roman" w:hAnsi="Times New Roman"/>
          <w:sz w:val="23"/>
          <w:szCs w:val="23"/>
        </w:rPr>
        <w:t>is means that the mind is not just the brain, or anything solely physical.</w:t>
      </w:r>
      <w:r w:rsidR="00D2723D">
        <w:t xml:space="preserve"> </w:t>
      </w:r>
      <w:r w:rsidR="00D2723D">
        <w:rPr>
          <w:rFonts w:ascii="Times New Roman" w:hAnsi="Times New Roman"/>
          <w:sz w:val="23"/>
          <w:szCs w:val="23"/>
        </w:rPr>
        <w:t xml:space="preserve">In </w:t>
      </w:r>
      <w:r w:rsidR="00DD4CEF">
        <w:rPr>
          <w:rFonts w:ascii="Times New Roman" w:hAnsi="Times New Roman"/>
          <w:sz w:val="23"/>
          <w:szCs w:val="23"/>
        </w:rPr>
        <w:t>the 17</w:t>
      </w:r>
      <w:r w:rsidR="00DD4CEF">
        <w:rPr>
          <w:rFonts w:ascii="Times New Roman" w:hAnsi="Times New Roman"/>
          <w:sz w:val="23"/>
          <w:szCs w:val="23"/>
          <w:vertAlign w:val="superscript"/>
        </w:rPr>
        <w:t>th</w:t>
      </w:r>
      <w:r w:rsidR="00DD4CEF">
        <w:rPr>
          <w:rFonts w:ascii="Times New Roman" w:hAnsi="Times New Roman"/>
          <w:sz w:val="23"/>
          <w:szCs w:val="23"/>
        </w:rPr>
        <w:t xml:space="preserve"> Century, Rene Descartes was particularly influential in the development of </w:t>
      </w:r>
      <w:r w:rsidR="00D2723D">
        <w:rPr>
          <w:rFonts w:ascii="Times New Roman" w:hAnsi="Times New Roman"/>
          <w:sz w:val="23"/>
          <w:szCs w:val="23"/>
        </w:rPr>
        <w:t xml:space="preserve">dualism, suggesting that the mind is something which does not depend on the existence of anything else. This ‘mind’ is characterized by thought – something which Descartes argues for in his </w:t>
      </w:r>
      <w:r w:rsidR="00506155">
        <w:rPr>
          <w:rFonts w:ascii="Times New Roman" w:hAnsi="Times New Roman"/>
          <w:sz w:val="23"/>
          <w:szCs w:val="23"/>
        </w:rPr>
        <w:t xml:space="preserve">evil demon thought experiment, whereby the possibility of a demon distorting everything in the physical world causes him doubt everything, except for the fact that there must be someone doing the doubting. This led to his famous conclusion: </w:t>
      </w:r>
      <w:r w:rsidR="00506155">
        <w:rPr>
          <w:rFonts w:ascii="Times New Roman" w:hAnsi="Times New Roman"/>
          <w:i/>
          <w:iCs/>
          <w:sz w:val="23"/>
          <w:szCs w:val="23"/>
        </w:rPr>
        <w:t>“</w:t>
      </w:r>
      <w:r w:rsidR="00506155">
        <w:rPr>
          <w:rFonts w:ascii="Times New Roman" w:hAnsi="Times New Roman"/>
          <w:i/>
          <w:iCs/>
          <w:sz w:val="23"/>
          <w:szCs w:val="23"/>
          <w:lang w:val="it-IT"/>
        </w:rPr>
        <w:t>Cogito ergo sum</w:t>
      </w:r>
      <w:r w:rsidR="00506155">
        <w:rPr>
          <w:rFonts w:ascii="Times New Roman" w:hAnsi="Times New Roman"/>
          <w:i/>
          <w:iCs/>
          <w:sz w:val="23"/>
          <w:szCs w:val="23"/>
        </w:rPr>
        <w:t xml:space="preserve">”, </w:t>
      </w:r>
      <w:r w:rsidR="00506155">
        <w:rPr>
          <w:rFonts w:ascii="Times New Roman" w:hAnsi="Times New Roman"/>
          <w:sz w:val="23"/>
          <w:szCs w:val="23"/>
        </w:rPr>
        <w:t>I think therefore I am</w:t>
      </w:r>
      <w:r w:rsidR="00506155">
        <w:rPr>
          <w:rFonts w:ascii="Times New Roman" w:hAnsi="Times New Roman"/>
          <w:sz w:val="23"/>
          <w:szCs w:val="23"/>
        </w:rPr>
        <w:t xml:space="preserve">. </w:t>
      </w:r>
    </w:p>
    <w:p w14:paraId="258EFA96" w14:textId="77777777" w:rsidR="001D7C10" w:rsidRDefault="00DD4CEF" w:rsidP="00D865DC">
      <w:pPr>
        <w:pStyle w:val="Body"/>
        <w:spacing w:line="276" w:lineRule="auto"/>
        <w:ind w:firstLine="720"/>
        <w:jc w:val="both"/>
        <w:rPr>
          <w:rFonts w:ascii="Times New Roman" w:eastAsia="Times New Roman" w:hAnsi="Times New Roman" w:cs="Times New Roman"/>
          <w:sz w:val="23"/>
          <w:szCs w:val="23"/>
        </w:rPr>
      </w:pPr>
      <w:r>
        <w:rPr>
          <w:rFonts w:ascii="Times New Roman" w:hAnsi="Times New Roman"/>
          <w:sz w:val="23"/>
          <w:szCs w:val="23"/>
        </w:rPr>
        <w:t xml:space="preserve">Nevertheless, dualism is a problematic viewpoint to take. Those defending it must explain how the mind fits into the causal structure of the world (as, if the mind impacts the world but is distinct and immaterial, there would be frequent challenges to the laws of physics). Dualism is also challenged by evolutionary theory, as it must explain how something non-developmental could come into the world specifically for humans. It must also prove to be a better explanation of how the world works than its main opposition, materialism. </w:t>
      </w:r>
    </w:p>
    <w:p w14:paraId="79300CB4" w14:textId="17D5EFAE" w:rsidR="001D7C10" w:rsidRDefault="00DD4CEF" w:rsidP="00D865DC">
      <w:pPr>
        <w:pStyle w:val="Body"/>
        <w:spacing w:line="276" w:lineRule="auto"/>
        <w:ind w:firstLine="720"/>
        <w:jc w:val="both"/>
        <w:rPr>
          <w:rFonts w:ascii="Times New Roman" w:eastAsia="Times New Roman" w:hAnsi="Times New Roman" w:cs="Times New Roman"/>
          <w:sz w:val="23"/>
          <w:szCs w:val="23"/>
        </w:rPr>
      </w:pPr>
      <w:r>
        <w:rPr>
          <w:noProof/>
          <w:sz w:val="23"/>
          <w:szCs w:val="23"/>
        </w:rPr>
        <w:drawing>
          <wp:anchor distT="57150" distB="57150" distL="57150" distR="57150" simplePos="0" relativeHeight="251660288" behindDoc="0" locked="0" layoutInCell="1" allowOverlap="1" wp14:anchorId="77A377FE" wp14:editId="553F3080">
            <wp:simplePos x="0" y="0"/>
            <wp:positionH relativeFrom="column">
              <wp:posOffset>-16509</wp:posOffset>
            </wp:positionH>
            <wp:positionV relativeFrom="line">
              <wp:posOffset>51434</wp:posOffset>
            </wp:positionV>
            <wp:extent cx="1371600" cy="1637665"/>
            <wp:effectExtent l="0" t="0" r="0" b="0"/>
            <wp:wrapSquare wrapText="bothSides" distT="57150" distB="57150" distL="57150" distR="57150"/>
            <wp:docPr id="1073741828" name="officeArt object" descr="Related image"/>
            <wp:cNvGraphicFramePr/>
            <a:graphic xmlns:a="http://schemas.openxmlformats.org/drawingml/2006/main">
              <a:graphicData uri="http://schemas.openxmlformats.org/drawingml/2006/picture">
                <pic:pic xmlns:pic="http://schemas.openxmlformats.org/drawingml/2006/picture">
                  <pic:nvPicPr>
                    <pic:cNvPr id="1073741828" name="Related image" descr="Related image"/>
                    <pic:cNvPicPr>
                      <a:picLocks noChangeAspect="1"/>
                    </pic:cNvPicPr>
                  </pic:nvPicPr>
                  <pic:blipFill>
                    <a:blip r:embed="rId8"/>
                    <a:srcRect l="16924" r="20169"/>
                    <a:stretch>
                      <a:fillRect/>
                    </a:stretch>
                  </pic:blipFill>
                  <pic:spPr>
                    <a:xfrm>
                      <a:off x="0" y="0"/>
                      <a:ext cx="1371600" cy="1637665"/>
                    </a:xfrm>
                    <a:prstGeom prst="rect">
                      <a:avLst/>
                    </a:prstGeom>
                    <a:ln w="12700" cap="flat">
                      <a:noFill/>
                      <a:miter lim="400000"/>
                    </a:ln>
                    <a:effectLst/>
                  </pic:spPr>
                </pic:pic>
              </a:graphicData>
            </a:graphic>
          </wp:anchor>
        </w:drawing>
      </w:r>
      <w:r>
        <w:rPr>
          <w:rFonts w:ascii="Times New Roman" w:hAnsi="Times New Roman"/>
          <w:sz w:val="23"/>
          <w:szCs w:val="23"/>
        </w:rPr>
        <w:t xml:space="preserve"> </w:t>
      </w:r>
      <w:r>
        <w:rPr>
          <w:rFonts w:ascii="Times New Roman" w:hAnsi="Times New Roman"/>
          <w:b/>
          <w:bCs/>
          <w:sz w:val="23"/>
          <w:szCs w:val="23"/>
        </w:rPr>
        <w:t xml:space="preserve">Materialism </w:t>
      </w:r>
      <w:r>
        <w:rPr>
          <w:rFonts w:ascii="Times New Roman" w:hAnsi="Times New Roman"/>
          <w:sz w:val="23"/>
          <w:szCs w:val="23"/>
        </w:rPr>
        <w:t>is the view that the mind and body are not distinct entities</w:t>
      </w:r>
      <w:r w:rsidR="00506155">
        <w:rPr>
          <w:rFonts w:ascii="Times New Roman" w:hAnsi="Times New Roman"/>
          <w:sz w:val="23"/>
          <w:szCs w:val="23"/>
        </w:rPr>
        <w:t>. According to materialism, thinking and feeling are just activities or features of the brain. Although there have been defenders of materialism at least since ancient Greece, the view became more popular</w:t>
      </w:r>
      <w:r w:rsidR="00506155">
        <w:t xml:space="preserve"> </w:t>
      </w:r>
      <w:r w:rsidR="00506155">
        <w:rPr>
          <w:rFonts w:ascii="Times New Roman" w:hAnsi="Times New Roman"/>
          <w:sz w:val="23"/>
          <w:szCs w:val="23"/>
        </w:rPr>
        <w:t>du</w:t>
      </w:r>
      <w:r>
        <w:rPr>
          <w:rFonts w:ascii="Times New Roman" w:hAnsi="Times New Roman"/>
          <w:sz w:val="23"/>
          <w:szCs w:val="23"/>
        </w:rPr>
        <w:t>ring the 1950s, with advances in science.</w:t>
      </w:r>
      <w:r w:rsidR="003D21C5">
        <w:rPr>
          <w:rFonts w:ascii="Times New Roman" w:hAnsi="Times New Roman"/>
          <w:sz w:val="23"/>
          <w:szCs w:val="23"/>
        </w:rPr>
        <w:t xml:space="preserve"> </w:t>
      </w:r>
      <w:r w:rsidR="00474A30">
        <w:rPr>
          <w:rFonts w:ascii="Times New Roman" w:hAnsi="Times New Roman"/>
          <w:sz w:val="23"/>
          <w:szCs w:val="23"/>
        </w:rPr>
        <w:t xml:space="preserve">As a result, </w:t>
      </w:r>
      <w:r w:rsidR="00AF5DCD">
        <w:rPr>
          <w:rFonts w:ascii="Times New Roman" w:hAnsi="Times New Roman"/>
          <w:sz w:val="23"/>
          <w:szCs w:val="23"/>
        </w:rPr>
        <w:t xml:space="preserve">many materialists would argue that </w:t>
      </w:r>
      <w:r w:rsidR="000C385E">
        <w:rPr>
          <w:rFonts w:ascii="Times New Roman" w:hAnsi="Times New Roman"/>
          <w:sz w:val="23"/>
          <w:szCs w:val="23"/>
        </w:rPr>
        <w:t xml:space="preserve">their view is the best explanation </w:t>
      </w:r>
      <w:r w:rsidR="00441F66">
        <w:rPr>
          <w:rFonts w:ascii="Times New Roman" w:hAnsi="Times New Roman"/>
          <w:sz w:val="23"/>
          <w:szCs w:val="23"/>
        </w:rPr>
        <w:t>for the extensive correlation between mental events and brain activity</w:t>
      </w:r>
      <w:r w:rsidR="008C128D">
        <w:rPr>
          <w:rFonts w:ascii="Times New Roman" w:hAnsi="Times New Roman"/>
          <w:sz w:val="23"/>
          <w:szCs w:val="23"/>
        </w:rPr>
        <w:t xml:space="preserve">, </w:t>
      </w:r>
      <w:r w:rsidR="00210903">
        <w:rPr>
          <w:rFonts w:ascii="Times New Roman" w:hAnsi="Times New Roman"/>
          <w:sz w:val="23"/>
          <w:szCs w:val="23"/>
        </w:rPr>
        <w:t xml:space="preserve">for example </w:t>
      </w:r>
      <w:r w:rsidR="008C128D">
        <w:rPr>
          <w:rFonts w:ascii="Times New Roman" w:hAnsi="Times New Roman"/>
          <w:sz w:val="23"/>
          <w:szCs w:val="23"/>
        </w:rPr>
        <w:t xml:space="preserve">the </w:t>
      </w:r>
      <w:r w:rsidR="00F973D7">
        <w:rPr>
          <w:rFonts w:ascii="Times New Roman" w:hAnsi="Times New Roman"/>
          <w:sz w:val="23"/>
          <w:szCs w:val="23"/>
        </w:rPr>
        <w:t>relation</w:t>
      </w:r>
      <w:r w:rsidR="00D4007B">
        <w:rPr>
          <w:rFonts w:ascii="Times New Roman" w:hAnsi="Times New Roman"/>
          <w:sz w:val="23"/>
          <w:szCs w:val="23"/>
        </w:rPr>
        <w:t>ship</w:t>
      </w:r>
      <w:r w:rsidR="00F973D7">
        <w:rPr>
          <w:rFonts w:ascii="Times New Roman" w:hAnsi="Times New Roman"/>
          <w:sz w:val="23"/>
          <w:szCs w:val="23"/>
        </w:rPr>
        <w:t xml:space="preserve"> between damage to</w:t>
      </w:r>
      <w:r>
        <w:rPr>
          <w:rFonts w:ascii="Times New Roman" w:hAnsi="Times New Roman"/>
          <w:sz w:val="23"/>
          <w:szCs w:val="23"/>
        </w:rPr>
        <w:t xml:space="preserve"> </w:t>
      </w:r>
      <w:r w:rsidR="00FD4F67">
        <w:rPr>
          <w:rFonts w:ascii="Times New Roman" w:hAnsi="Times New Roman"/>
          <w:sz w:val="23"/>
          <w:szCs w:val="23"/>
        </w:rPr>
        <w:t>specific areas of the brain and reductions in mental activity.</w:t>
      </w:r>
      <w:r>
        <w:rPr>
          <w:rFonts w:ascii="Times New Roman" w:hAnsi="Times New Roman"/>
          <w:sz w:val="23"/>
          <w:szCs w:val="23"/>
        </w:rPr>
        <w:t xml:space="preserve"> </w:t>
      </w:r>
    </w:p>
    <w:p w14:paraId="6D999BD4" w14:textId="1E72E3CE" w:rsidR="00C014C3" w:rsidRDefault="00DD4CEF" w:rsidP="00D865DC">
      <w:pPr>
        <w:pStyle w:val="Body"/>
        <w:spacing w:line="276" w:lineRule="auto"/>
        <w:jc w:val="both"/>
        <w:rPr>
          <w:rFonts w:ascii="Times New Roman" w:hAnsi="Times New Roman"/>
          <w:sz w:val="23"/>
          <w:szCs w:val="23"/>
        </w:rPr>
      </w:pPr>
      <w:r>
        <w:rPr>
          <w:rFonts w:ascii="Times New Roman" w:eastAsia="Times New Roman" w:hAnsi="Times New Roman" w:cs="Times New Roman"/>
          <w:sz w:val="23"/>
          <w:szCs w:val="23"/>
        </w:rPr>
        <w:tab/>
        <w:t xml:space="preserve">However, can the identity statement that the mind </w:t>
      </w:r>
      <w:r w:rsidR="00EC6A76">
        <w:rPr>
          <w:rFonts w:ascii="Times New Roman" w:eastAsia="Times New Roman" w:hAnsi="Times New Roman" w:cs="Times New Roman"/>
          <w:sz w:val="23"/>
          <w:szCs w:val="23"/>
        </w:rPr>
        <w:t>identic</w:t>
      </w:r>
      <w:r w:rsidR="00242B30">
        <w:rPr>
          <w:rFonts w:ascii="Times New Roman" w:eastAsia="Times New Roman" w:hAnsi="Times New Roman" w:cs="Times New Roman"/>
          <w:sz w:val="23"/>
          <w:szCs w:val="23"/>
        </w:rPr>
        <w:t>al</w:t>
      </w:r>
      <w:r>
        <w:rPr>
          <w:rFonts w:ascii="Times New Roman" w:hAnsi="Times New Roman"/>
          <w:sz w:val="23"/>
          <w:szCs w:val="23"/>
        </w:rPr>
        <w:t xml:space="preserve"> to the brain be accepted?</w:t>
      </w:r>
      <w:r w:rsidR="007D2327">
        <w:rPr>
          <w:rFonts w:ascii="Times New Roman" w:hAnsi="Times New Roman"/>
          <w:sz w:val="23"/>
          <w:szCs w:val="23"/>
        </w:rPr>
        <w:t xml:space="preserve"> This </w:t>
      </w:r>
      <w:r w:rsidR="00FC4D85">
        <w:rPr>
          <w:rFonts w:ascii="Times New Roman" w:hAnsi="Times New Roman"/>
          <w:sz w:val="23"/>
          <w:szCs w:val="23"/>
        </w:rPr>
        <w:t xml:space="preserve">would </w:t>
      </w:r>
      <w:r w:rsidR="007D2327">
        <w:rPr>
          <w:rFonts w:ascii="Times New Roman" w:hAnsi="Times New Roman"/>
          <w:sz w:val="23"/>
          <w:szCs w:val="23"/>
        </w:rPr>
        <w:t>mean that the</w:t>
      </w:r>
      <w:r w:rsidR="00FC4D85">
        <w:rPr>
          <w:rFonts w:ascii="Times New Roman" w:hAnsi="Times New Roman"/>
          <w:sz w:val="23"/>
          <w:szCs w:val="23"/>
        </w:rPr>
        <w:t xml:space="preserve"> mind and the brain </w:t>
      </w:r>
      <w:r w:rsidR="007D2327">
        <w:rPr>
          <w:rFonts w:ascii="Times New Roman" w:hAnsi="Times New Roman"/>
          <w:sz w:val="23"/>
          <w:szCs w:val="23"/>
        </w:rPr>
        <w:t xml:space="preserve">must </w:t>
      </w:r>
      <w:r w:rsidR="00FC4D85">
        <w:rPr>
          <w:rFonts w:ascii="Times New Roman" w:hAnsi="Times New Roman"/>
          <w:sz w:val="23"/>
          <w:szCs w:val="23"/>
        </w:rPr>
        <w:t xml:space="preserve">have </w:t>
      </w:r>
      <w:r w:rsidR="00BA2D4B">
        <w:rPr>
          <w:rFonts w:ascii="Times New Roman" w:hAnsi="Times New Roman"/>
          <w:sz w:val="23"/>
          <w:szCs w:val="23"/>
        </w:rPr>
        <w:t>identical properties and natures</w:t>
      </w:r>
      <w:r w:rsidR="007D2327">
        <w:rPr>
          <w:rFonts w:ascii="Times New Roman" w:hAnsi="Times New Roman"/>
          <w:sz w:val="23"/>
          <w:szCs w:val="23"/>
        </w:rPr>
        <w:t xml:space="preserve">. Despite the scientific evidence backing up this view, many people would argue that humans have some experiences which cannot merely be reduced to brain activity. </w:t>
      </w:r>
      <w:r>
        <w:rPr>
          <w:rFonts w:ascii="Times New Roman" w:hAnsi="Times New Roman"/>
          <w:sz w:val="23"/>
          <w:szCs w:val="23"/>
        </w:rPr>
        <w:t xml:space="preserve">One example of this is </w:t>
      </w:r>
      <w:r>
        <w:rPr>
          <w:rFonts w:ascii="Times New Roman" w:hAnsi="Times New Roman"/>
          <w:i/>
          <w:iCs/>
          <w:sz w:val="23"/>
          <w:szCs w:val="23"/>
          <w:lang w:val="it-IT"/>
        </w:rPr>
        <w:t>qualia</w:t>
      </w:r>
      <w:r w:rsidR="007D2327">
        <w:rPr>
          <w:rFonts w:ascii="Times New Roman" w:hAnsi="Times New Roman"/>
          <w:i/>
          <w:iCs/>
          <w:sz w:val="23"/>
          <w:szCs w:val="23"/>
          <w:lang w:val="it-IT"/>
        </w:rPr>
        <w:t xml:space="preserve">; </w:t>
      </w:r>
      <w:r w:rsidR="007D2327">
        <w:rPr>
          <w:rFonts w:ascii="Times New Roman" w:hAnsi="Times New Roman"/>
          <w:sz w:val="23"/>
          <w:szCs w:val="23"/>
          <w:lang w:val="it-IT"/>
        </w:rPr>
        <w:t xml:space="preserve">the subjective qualities of what something is like, so the expereince that you have. </w:t>
      </w:r>
      <w:r w:rsidR="007D2327">
        <w:rPr>
          <w:rFonts w:ascii="Times New Roman" w:hAnsi="Times New Roman"/>
          <w:sz w:val="23"/>
          <w:szCs w:val="23"/>
        </w:rPr>
        <w:t>This is demonstrated in Frank Jackson’s thought experiment, known as ‘Mary’s Room’, where</w:t>
      </w:r>
      <w:r w:rsidR="00C014C3">
        <w:rPr>
          <w:rFonts w:ascii="Times New Roman" w:hAnsi="Times New Roman"/>
          <w:sz w:val="23"/>
          <w:szCs w:val="23"/>
        </w:rPr>
        <w:t>by</w:t>
      </w:r>
      <w:r w:rsidR="007D2327">
        <w:rPr>
          <w:rFonts w:ascii="Times New Roman" w:hAnsi="Times New Roman"/>
          <w:sz w:val="23"/>
          <w:szCs w:val="23"/>
        </w:rPr>
        <w:t xml:space="preserve"> </w:t>
      </w:r>
      <w:r w:rsidR="00297C56">
        <w:rPr>
          <w:rFonts w:ascii="Times New Roman" w:hAnsi="Times New Roman"/>
          <w:sz w:val="23"/>
          <w:szCs w:val="23"/>
        </w:rPr>
        <w:t xml:space="preserve">scientist </w:t>
      </w:r>
      <w:r w:rsidR="007D2327">
        <w:rPr>
          <w:rFonts w:ascii="Times New Roman" w:hAnsi="Times New Roman"/>
          <w:sz w:val="23"/>
          <w:szCs w:val="23"/>
        </w:rPr>
        <w:t>Mary</w:t>
      </w:r>
      <w:r w:rsidR="00297C56">
        <w:rPr>
          <w:rFonts w:ascii="Times New Roman" w:hAnsi="Times New Roman"/>
          <w:sz w:val="23"/>
          <w:szCs w:val="23"/>
        </w:rPr>
        <w:t xml:space="preserve"> </w:t>
      </w:r>
      <w:r w:rsidR="007D2327">
        <w:rPr>
          <w:rFonts w:ascii="Times New Roman" w:hAnsi="Times New Roman"/>
          <w:sz w:val="23"/>
          <w:szCs w:val="23"/>
        </w:rPr>
        <w:t xml:space="preserve">has carried </w:t>
      </w:r>
      <w:r w:rsidR="00C014C3">
        <w:rPr>
          <w:rFonts w:ascii="Times New Roman" w:hAnsi="Times New Roman"/>
          <w:sz w:val="23"/>
          <w:szCs w:val="23"/>
        </w:rPr>
        <w:t xml:space="preserve">out </w:t>
      </w:r>
      <w:r w:rsidR="007D2327">
        <w:rPr>
          <w:rFonts w:ascii="Times New Roman" w:hAnsi="Times New Roman"/>
          <w:sz w:val="23"/>
          <w:szCs w:val="23"/>
        </w:rPr>
        <w:t xml:space="preserve">extensive research into the </w:t>
      </w:r>
      <w:proofErr w:type="spellStart"/>
      <w:r w:rsidR="007D2327">
        <w:rPr>
          <w:rFonts w:ascii="Times New Roman" w:hAnsi="Times New Roman"/>
          <w:sz w:val="23"/>
          <w:szCs w:val="23"/>
        </w:rPr>
        <w:t>colour</w:t>
      </w:r>
      <w:proofErr w:type="spellEnd"/>
      <w:r w:rsidR="007D2327">
        <w:rPr>
          <w:rFonts w:ascii="Times New Roman" w:hAnsi="Times New Roman"/>
          <w:sz w:val="23"/>
          <w:szCs w:val="23"/>
        </w:rPr>
        <w:t xml:space="preserve"> red</w:t>
      </w:r>
      <w:r w:rsidR="00C014C3">
        <w:rPr>
          <w:rFonts w:ascii="Times New Roman" w:hAnsi="Times New Roman"/>
          <w:sz w:val="23"/>
          <w:szCs w:val="23"/>
        </w:rPr>
        <w:t xml:space="preserve">, even though she has been raised in a completely </w:t>
      </w:r>
      <w:r w:rsidR="00C014C3">
        <w:rPr>
          <w:rFonts w:ascii="Times New Roman" w:hAnsi="Times New Roman"/>
          <w:sz w:val="23"/>
          <w:szCs w:val="23"/>
        </w:rPr>
        <w:lastRenderedPageBreak/>
        <w:t xml:space="preserve">black and white environment. This means that whilst she knows everything about the properties of redness, and what effects seeing it will have, she hasn’t had these experiences for herself. Jackson claims that Mary will learn something new on seeing red, suggesting that brain states are not the same as sensations (qualia). As such, it seems that experience is different from just the firing of neurons, as captured by Jackson: </w:t>
      </w:r>
    </w:p>
    <w:p w14:paraId="7948F001" w14:textId="37656777" w:rsidR="001D7C10" w:rsidRDefault="00C014C3" w:rsidP="00D865DC">
      <w:pPr>
        <w:pStyle w:val="Body"/>
        <w:spacing w:line="276" w:lineRule="auto"/>
        <w:ind w:left="567" w:right="567"/>
        <w:jc w:val="center"/>
        <w:rPr>
          <w:rFonts w:ascii="Gill Sans Nova Cond" w:eastAsia="Gill Sans Nova Cond" w:hAnsi="Gill Sans Nova Cond" w:cs="Gill Sans Nova Cond"/>
          <w:sz w:val="23"/>
          <w:szCs w:val="23"/>
        </w:rPr>
      </w:pPr>
      <w:r>
        <w:rPr>
          <w:rFonts w:ascii="Gill Sans Nova Cond" w:eastAsia="Gill Sans Nova Cond" w:hAnsi="Gill Sans Nova Cond" w:cs="Gill Sans Nova Cond"/>
          <w:sz w:val="23"/>
          <w:szCs w:val="23"/>
        </w:rPr>
        <w:t xml:space="preserve"> </w:t>
      </w:r>
      <w:r w:rsidR="00DD4CEF">
        <w:rPr>
          <w:rFonts w:ascii="Gill Sans Nova Cond" w:eastAsia="Gill Sans Nova Cond" w:hAnsi="Gill Sans Nova Cond" w:cs="Gill Sans Nova Cond"/>
          <w:sz w:val="23"/>
          <w:szCs w:val="23"/>
        </w:rPr>
        <w:t xml:space="preserve">“Tell me everything physical there is to tell about what is going on in a living brain … you won’t have told me about the </w:t>
      </w:r>
      <w:r w:rsidR="00D865DC">
        <w:rPr>
          <w:rFonts w:ascii="Times New Roman" w:eastAsia="Times New Roman" w:hAnsi="Times New Roman" w:cs="Times New Roman"/>
          <w:noProof/>
          <w:sz w:val="23"/>
          <w:szCs w:val="23"/>
        </w:rPr>
        <w:drawing>
          <wp:anchor distT="57150" distB="57150" distL="57150" distR="57150" simplePos="0" relativeHeight="251661312" behindDoc="0" locked="0" layoutInCell="1" allowOverlap="1" wp14:anchorId="2BE4A607" wp14:editId="76404177">
            <wp:simplePos x="0" y="0"/>
            <wp:positionH relativeFrom="column">
              <wp:posOffset>3935730</wp:posOffset>
            </wp:positionH>
            <wp:positionV relativeFrom="line">
              <wp:posOffset>83820</wp:posOffset>
            </wp:positionV>
            <wp:extent cx="1784986" cy="1000125"/>
            <wp:effectExtent l="0" t="0" r="0" b="0"/>
            <wp:wrapSquare wrapText="bothSides" distT="57150" distB="57150" distL="57150" distR="57150"/>
            <wp:docPr id="1073741830" name="officeArt object" descr="Image result for qualia philosophy"/>
            <wp:cNvGraphicFramePr/>
            <a:graphic xmlns:a="http://schemas.openxmlformats.org/drawingml/2006/main">
              <a:graphicData uri="http://schemas.openxmlformats.org/drawingml/2006/picture">
                <pic:pic xmlns:pic="http://schemas.openxmlformats.org/drawingml/2006/picture">
                  <pic:nvPicPr>
                    <pic:cNvPr id="1073741830" name="Image result for qualia philosophy" descr="Image result for qualia philosophy"/>
                    <pic:cNvPicPr>
                      <a:picLocks noChangeAspect="1"/>
                    </pic:cNvPicPr>
                  </pic:nvPicPr>
                  <pic:blipFill>
                    <a:blip r:embed="rId9"/>
                    <a:stretch>
                      <a:fillRect/>
                    </a:stretch>
                  </pic:blipFill>
                  <pic:spPr>
                    <a:xfrm>
                      <a:off x="0" y="0"/>
                      <a:ext cx="1784986" cy="1000125"/>
                    </a:xfrm>
                    <a:prstGeom prst="rect">
                      <a:avLst/>
                    </a:prstGeom>
                    <a:ln w="12700" cap="flat">
                      <a:noFill/>
                      <a:miter lim="400000"/>
                    </a:ln>
                    <a:effectLst/>
                  </pic:spPr>
                </pic:pic>
              </a:graphicData>
            </a:graphic>
          </wp:anchor>
        </w:drawing>
      </w:r>
      <w:r w:rsidR="00DD4CEF">
        <w:rPr>
          <w:rFonts w:ascii="Gill Sans Nova Cond" w:eastAsia="Gill Sans Nova Cond" w:hAnsi="Gill Sans Nova Cond" w:cs="Gill Sans Nova Cond"/>
          <w:sz w:val="23"/>
          <w:szCs w:val="23"/>
        </w:rPr>
        <w:t>hurtfulness of pains, the itchiness of itches, pangs of jealousy”</w:t>
      </w:r>
    </w:p>
    <w:p w14:paraId="10CF6699" w14:textId="77596E1D" w:rsidR="001A2A35" w:rsidRDefault="001A2A35" w:rsidP="00D865DC">
      <w:pPr>
        <w:pStyle w:val="Body"/>
        <w:spacing w:line="276"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Another way to visualize this issue is by imagining whether there could be something physically identical to us, but lacking consciousness – as demonstrated in </w:t>
      </w:r>
      <w:proofErr w:type="spellStart"/>
      <w:r>
        <w:rPr>
          <w:rFonts w:ascii="Times New Roman" w:eastAsia="Times New Roman" w:hAnsi="Times New Roman" w:cs="Times New Roman"/>
          <w:sz w:val="23"/>
          <w:szCs w:val="23"/>
        </w:rPr>
        <w:t>Chalmer’s</w:t>
      </w:r>
      <w:proofErr w:type="spellEnd"/>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 xml:space="preserve">Zombie Problem’. </w:t>
      </w:r>
    </w:p>
    <w:p w14:paraId="1C25AAFB" w14:textId="4EF0F17B" w:rsidR="001D7C10" w:rsidRPr="00B47961" w:rsidRDefault="00DD4CEF" w:rsidP="00D865DC">
      <w:pPr>
        <w:pStyle w:val="Body"/>
        <w:spacing w:line="276" w:lineRule="auto"/>
        <w:ind w:firstLine="720"/>
        <w:jc w:val="both"/>
        <w:rPr>
          <w:rFonts w:ascii="Times New Roman" w:hAnsi="Times New Roman"/>
          <w:sz w:val="23"/>
          <w:szCs w:val="23"/>
        </w:rPr>
      </w:pPr>
      <w:r>
        <w:rPr>
          <w:rFonts w:ascii="Times New Roman" w:eastAsia="Times New Roman" w:hAnsi="Times New Roman" w:cs="Times New Roman"/>
          <w:sz w:val="23"/>
          <w:szCs w:val="23"/>
        </w:rPr>
        <w:t xml:space="preserve">In philosophy of mind, questions like these provide opposition for materialism. They suggest that there is something more to humans than the brain alone, providing examples where the limits of scientific knowledge are stretched. </w:t>
      </w:r>
      <w:r w:rsidR="001A2A35">
        <w:rPr>
          <w:rFonts w:ascii="Times New Roman" w:hAnsi="Times New Roman"/>
          <w:sz w:val="23"/>
          <w:szCs w:val="23"/>
        </w:rPr>
        <w:t xml:space="preserve">However, </w:t>
      </w:r>
      <w:r>
        <w:rPr>
          <w:rFonts w:ascii="Times New Roman" w:hAnsi="Times New Roman"/>
          <w:sz w:val="23"/>
          <w:szCs w:val="23"/>
        </w:rPr>
        <w:t>there is no easy resolution to the debate between materialism and dualism</w:t>
      </w:r>
      <w:r w:rsidR="001A2A35">
        <w:rPr>
          <w:rFonts w:ascii="Times New Roman" w:hAnsi="Times New Roman"/>
          <w:sz w:val="23"/>
          <w:szCs w:val="23"/>
        </w:rPr>
        <w:t>, and there are many arguments and counterarguments surrounding this</w:t>
      </w:r>
      <w:r>
        <w:rPr>
          <w:rFonts w:ascii="Times New Roman" w:hAnsi="Times New Roman"/>
          <w:sz w:val="23"/>
          <w:szCs w:val="23"/>
        </w:rPr>
        <w:t xml:space="preserve">. Below is a selection of relevant papers which could help you make up your *mind*. </w:t>
      </w:r>
    </w:p>
    <w:p w14:paraId="6C1D1042" w14:textId="752F6498" w:rsidR="001D7C10" w:rsidRDefault="001D7C10" w:rsidP="00D865DC">
      <w:pPr>
        <w:pStyle w:val="Body"/>
        <w:spacing w:line="276" w:lineRule="auto"/>
        <w:jc w:val="both"/>
        <w:rPr>
          <w:rFonts w:ascii="Times New Roman" w:eastAsia="Times New Roman" w:hAnsi="Times New Roman" w:cs="Times New Roman"/>
          <w:sz w:val="23"/>
          <w:szCs w:val="23"/>
        </w:rPr>
      </w:pPr>
    </w:p>
    <w:p w14:paraId="36330CE3" w14:textId="77777777" w:rsidR="00D865DC" w:rsidRDefault="00D865DC" w:rsidP="00D865DC">
      <w:pPr>
        <w:pStyle w:val="Body"/>
        <w:spacing w:line="276" w:lineRule="auto"/>
        <w:jc w:val="both"/>
        <w:rPr>
          <w:rFonts w:ascii="Times New Roman" w:eastAsia="Times New Roman" w:hAnsi="Times New Roman" w:cs="Times New Roman"/>
          <w:sz w:val="23"/>
          <w:szCs w:val="23"/>
        </w:rPr>
      </w:pPr>
    </w:p>
    <w:p w14:paraId="15484AE5" w14:textId="77777777" w:rsidR="00D865DC" w:rsidRDefault="00DD4CEF" w:rsidP="00D865DC">
      <w:pPr>
        <w:pStyle w:val="Body"/>
        <w:spacing w:line="276" w:lineRule="auto"/>
        <w:jc w:val="both"/>
        <w:rPr>
          <w:rFonts w:ascii="Times New Roman" w:hAnsi="Times New Roman"/>
          <w:b/>
          <w:bCs/>
        </w:rPr>
      </w:pPr>
      <w:r>
        <w:rPr>
          <w:rFonts w:ascii="Times New Roman" w:hAnsi="Times New Roman"/>
          <w:b/>
          <w:bCs/>
        </w:rPr>
        <w:t xml:space="preserve">In </w:t>
      </w:r>
      <w:proofErr w:type="spellStart"/>
      <w:r>
        <w:rPr>
          <w:rFonts w:ascii="Times New Roman" w:hAnsi="Times New Roman"/>
          <w:b/>
          <w:bCs/>
        </w:rPr>
        <w:t>favour</w:t>
      </w:r>
      <w:proofErr w:type="spellEnd"/>
      <w:r>
        <w:rPr>
          <w:rFonts w:ascii="Times New Roman" w:hAnsi="Times New Roman"/>
          <w:b/>
          <w:bCs/>
        </w:rPr>
        <w:t xml:space="preserve"> of Dualism</w:t>
      </w:r>
      <w:r w:rsidR="00B35690">
        <w:rPr>
          <w:rFonts w:ascii="Times New Roman" w:hAnsi="Times New Roman"/>
          <w:b/>
          <w:bCs/>
        </w:rPr>
        <w:tab/>
      </w:r>
    </w:p>
    <w:p w14:paraId="595636E2" w14:textId="670A6818" w:rsidR="00D865DC" w:rsidRPr="00D865DC" w:rsidRDefault="00DD4CEF" w:rsidP="00D865DC">
      <w:pPr>
        <w:pStyle w:val="Body"/>
        <w:spacing w:line="276" w:lineRule="auto"/>
        <w:jc w:val="both"/>
        <w:rPr>
          <w:rFonts w:ascii="Times New Roman" w:hAnsi="Times New Roman"/>
        </w:rPr>
      </w:pPr>
      <w:r>
        <w:rPr>
          <w:rFonts w:ascii="Times New Roman" w:hAnsi="Times New Roman"/>
          <w:b/>
          <w:bCs/>
        </w:rPr>
        <w:br/>
      </w:r>
      <w:r w:rsidR="00D865DC">
        <w:rPr>
          <w:rFonts w:ascii="Times New Roman" w:hAnsi="Times New Roman"/>
        </w:rPr>
        <w:t xml:space="preserve">Chalmers, David, </w:t>
      </w:r>
      <w:r w:rsidR="00D865DC">
        <w:rPr>
          <w:rFonts w:ascii="Times New Roman" w:hAnsi="Times New Roman"/>
          <w:i/>
          <w:iCs/>
        </w:rPr>
        <w:t>The Conscious Mind</w:t>
      </w:r>
      <w:r w:rsidR="00D865DC">
        <w:rPr>
          <w:rFonts w:ascii="Times New Roman" w:hAnsi="Times New Roman"/>
        </w:rPr>
        <w:t xml:space="preserve">, 1995, </w:t>
      </w:r>
      <w:hyperlink r:id="rId10" w:history="1">
        <w:r w:rsidR="00D865DC" w:rsidRPr="009B392E">
          <w:rPr>
            <w:rStyle w:val="Hyperlink"/>
            <w:rFonts w:ascii="Times New Roman" w:hAnsi="Times New Roman"/>
            <w:color w:val="4472C4" w:themeColor="accent1"/>
          </w:rPr>
          <w:t>http://ghiraldelli.pro.br/wp-content/uploads/The-Conscious-Mind-Chalmers-David.pdf</w:t>
        </w:r>
      </w:hyperlink>
      <w:r w:rsidR="00D865DC">
        <w:rPr>
          <w:rFonts w:ascii="Times New Roman" w:hAnsi="Times New Roman"/>
        </w:rPr>
        <w:t xml:space="preserve"> - For the ‘Zombie Problem’, see chapter 3.1</w:t>
      </w:r>
    </w:p>
    <w:p w14:paraId="543C9B75" w14:textId="0CA2B714" w:rsidR="00B35690" w:rsidRDefault="00B35690" w:rsidP="00D865DC">
      <w:pPr>
        <w:pStyle w:val="Body"/>
        <w:spacing w:line="276" w:lineRule="auto"/>
        <w:jc w:val="both"/>
        <w:rPr>
          <w:rFonts w:ascii="Times New Roman" w:hAnsi="Times New Roman"/>
        </w:rPr>
      </w:pPr>
      <w:r>
        <w:rPr>
          <w:rFonts w:ascii="Times New Roman" w:hAnsi="Times New Roman"/>
          <w:lang w:val="es-ES_tradnl"/>
        </w:rPr>
        <w:t xml:space="preserve">Descartes, Rene, </w:t>
      </w:r>
      <w:r>
        <w:rPr>
          <w:rFonts w:ascii="Times New Roman" w:hAnsi="Times New Roman"/>
          <w:i/>
          <w:iCs/>
        </w:rPr>
        <w:t>Meditations in First Philosophy’</w:t>
      </w:r>
      <w:r>
        <w:rPr>
          <w:rFonts w:ascii="Times New Roman" w:hAnsi="Times New Roman"/>
          <w:i/>
          <w:iCs/>
        </w:rPr>
        <w:t xml:space="preserve"> </w:t>
      </w:r>
      <w:r>
        <w:rPr>
          <w:rFonts w:ascii="Times New Roman" w:hAnsi="Times New Roman"/>
        </w:rPr>
        <w:t xml:space="preserve">in </w:t>
      </w:r>
      <w:r>
        <w:rPr>
          <w:rFonts w:ascii="Times New Roman" w:hAnsi="Times New Roman"/>
          <w:i/>
          <w:iCs/>
        </w:rPr>
        <w:t xml:space="preserve">The Philosophical Works of Descartes, </w:t>
      </w:r>
      <w:r>
        <w:rPr>
          <w:rFonts w:ascii="Times New Roman" w:hAnsi="Times New Roman"/>
        </w:rPr>
        <w:t>translated by Elizabeth Haldane,</w:t>
      </w:r>
      <w:r>
        <w:rPr>
          <w:rFonts w:ascii="Times New Roman" w:hAnsi="Times New Roman"/>
          <w:i/>
          <w:iCs/>
        </w:rPr>
        <w:t xml:space="preserve"> </w:t>
      </w:r>
      <w:r>
        <w:rPr>
          <w:rFonts w:ascii="Times New Roman" w:hAnsi="Times New Roman"/>
        </w:rPr>
        <w:t xml:space="preserve">(Cambridge University Press: Cambridge, 1911). </w:t>
      </w:r>
      <w:r>
        <w:rPr>
          <w:rFonts w:ascii="Times New Roman" w:hAnsi="Times New Roman"/>
        </w:rPr>
        <w:sym w:font="Symbol" w:char="F05B"/>
      </w:r>
      <w:r>
        <w:rPr>
          <w:rFonts w:ascii="Times New Roman" w:hAnsi="Times New Roman"/>
        </w:rPr>
        <w:t xml:space="preserve">Accessed from </w:t>
      </w:r>
      <w:r>
        <w:rPr>
          <w:rFonts w:ascii="Times New Roman" w:hAnsi="Times New Roman"/>
          <w:i/>
          <w:iCs/>
        </w:rPr>
        <w:t xml:space="preserve">Internet Encyclopedia of Philosophy, </w:t>
      </w:r>
      <w:hyperlink r:id="rId11" w:history="1">
        <w:r w:rsidRPr="009B392E">
          <w:rPr>
            <w:rStyle w:val="Hyperlink"/>
            <w:rFonts w:ascii="Times New Roman" w:hAnsi="Times New Roman"/>
            <w:i/>
            <w:iCs/>
            <w:color w:val="4472C4" w:themeColor="accent1"/>
          </w:rPr>
          <w:t>http://selfpace.uconn.edu/class/percep/DescartesMeditations.pdf</w:t>
        </w:r>
      </w:hyperlink>
      <w:r w:rsidRPr="009B392E">
        <w:rPr>
          <w:rFonts w:ascii="Times New Roman" w:hAnsi="Times New Roman"/>
          <w:i/>
          <w:iCs/>
          <w:color w:val="4472C4" w:themeColor="accent1"/>
        </w:rPr>
        <w:t xml:space="preserve"> </w:t>
      </w:r>
      <w:r>
        <w:rPr>
          <w:rFonts w:ascii="Times New Roman" w:hAnsi="Times New Roman"/>
        </w:rPr>
        <w:sym w:font="Symbol" w:char="F05D"/>
      </w:r>
    </w:p>
    <w:p w14:paraId="2BC53BBF" w14:textId="2299D540" w:rsidR="00B35690" w:rsidRDefault="00B35690" w:rsidP="00D865DC">
      <w:pPr>
        <w:pStyle w:val="Body"/>
        <w:spacing w:line="276" w:lineRule="auto"/>
        <w:jc w:val="both"/>
        <w:rPr>
          <w:rFonts w:ascii="Times New Roman" w:hAnsi="Times New Roman"/>
          <w:i/>
          <w:iCs/>
          <w:color w:val="4472C4" w:themeColor="accent1"/>
        </w:rPr>
      </w:pPr>
      <w:r>
        <w:rPr>
          <w:rFonts w:ascii="Times New Roman" w:hAnsi="Times New Roman"/>
          <w:lang w:val="da-DK"/>
        </w:rPr>
        <w:t>Jackson, Frank,</w:t>
      </w:r>
      <w:r w:rsidR="009B392E">
        <w:rPr>
          <w:rFonts w:ascii="Times New Roman" w:hAnsi="Times New Roman"/>
          <w:lang w:val="da-DK"/>
        </w:rPr>
        <w:t xml:space="preserve"> 1982,</w:t>
      </w:r>
      <w:r>
        <w:rPr>
          <w:rFonts w:ascii="Times New Roman" w:hAnsi="Times New Roman"/>
          <w:lang w:val="da-DK"/>
        </w:rPr>
        <w:t xml:space="preserve"> </w:t>
      </w:r>
      <w:r>
        <w:rPr>
          <w:rFonts w:ascii="Times New Roman" w:hAnsi="Times New Roman"/>
        </w:rPr>
        <w:t>‘</w:t>
      </w:r>
      <w:r>
        <w:rPr>
          <w:rFonts w:ascii="Times New Roman" w:hAnsi="Times New Roman"/>
          <w:lang w:val="it-IT"/>
        </w:rPr>
        <w:t>Epiphenomenal Qualia</w:t>
      </w:r>
      <w:r>
        <w:rPr>
          <w:rFonts w:ascii="Times New Roman" w:hAnsi="Times New Roman"/>
        </w:rPr>
        <w:t xml:space="preserve">’ in </w:t>
      </w:r>
      <w:r>
        <w:rPr>
          <w:rFonts w:ascii="Times New Roman" w:hAnsi="Times New Roman"/>
          <w:i/>
          <w:iCs/>
        </w:rPr>
        <w:t xml:space="preserve">The Philosophical Quarterly </w:t>
      </w:r>
      <w:r>
        <w:rPr>
          <w:rFonts w:ascii="Times New Roman" w:hAnsi="Times New Roman"/>
          <w:i/>
          <w:iCs/>
        </w:rPr>
        <w:t xml:space="preserve">32, </w:t>
      </w:r>
      <w:hyperlink r:id="rId12" w:history="1">
        <w:r w:rsidRPr="009B392E">
          <w:rPr>
            <w:rStyle w:val="Hyperlink"/>
            <w:rFonts w:ascii="Times New Roman" w:hAnsi="Times New Roman"/>
            <w:color w:val="4472C4" w:themeColor="accent1"/>
          </w:rPr>
          <w:t>https://www.sfu.ca/~jillmc/JacksonfromJStore.pdf</w:t>
        </w:r>
      </w:hyperlink>
      <w:r w:rsidRPr="009B392E">
        <w:rPr>
          <w:rFonts w:ascii="Times New Roman" w:hAnsi="Times New Roman"/>
          <w:i/>
          <w:iCs/>
          <w:color w:val="4472C4" w:themeColor="accent1"/>
        </w:rPr>
        <w:t xml:space="preserve"> </w:t>
      </w:r>
    </w:p>
    <w:p w14:paraId="6249D48B" w14:textId="540A9808" w:rsidR="001D7C10" w:rsidRPr="009B392E" w:rsidRDefault="009B392E" w:rsidP="00D865DC">
      <w:pPr>
        <w:pStyle w:val="Body"/>
        <w:spacing w:line="276" w:lineRule="auto"/>
        <w:jc w:val="both"/>
        <w:rPr>
          <w:rFonts w:ascii="Times New Roman" w:hAnsi="Times New Roman"/>
        </w:rPr>
      </w:pPr>
      <w:r>
        <w:rPr>
          <w:rFonts w:ascii="Times New Roman" w:hAnsi="Times New Roman"/>
          <w:lang w:val="da-DK"/>
        </w:rPr>
        <w:t xml:space="preserve">Jackson, F., 1986, </w:t>
      </w:r>
      <w:r>
        <w:rPr>
          <w:rFonts w:ascii="Times New Roman" w:hAnsi="Times New Roman"/>
        </w:rPr>
        <w:t xml:space="preserve">“What Mary Didn't Know” in </w:t>
      </w:r>
      <w:r>
        <w:rPr>
          <w:rFonts w:ascii="Times New Roman" w:hAnsi="Times New Roman"/>
          <w:i/>
          <w:iCs/>
        </w:rPr>
        <w:t>Journal of Philosophy 8</w:t>
      </w:r>
      <w:r>
        <w:rPr>
          <w:rFonts w:ascii="Times New Roman" w:hAnsi="Times New Roman"/>
          <w:i/>
          <w:iCs/>
        </w:rPr>
        <w:t xml:space="preserve">3, </w:t>
      </w:r>
      <w:hyperlink r:id="rId13" w:history="1">
        <w:r w:rsidRPr="009B392E">
          <w:rPr>
            <w:rStyle w:val="Hyperlink"/>
            <w:rFonts w:ascii="Times New Roman" w:hAnsi="Times New Roman"/>
            <w:color w:val="4472C4" w:themeColor="accent1"/>
          </w:rPr>
          <w:t>https://pdfs.semanticscholar.org/d5f0/b1d40bd79be8ec2419e824771300ac5db204.pdf</w:t>
        </w:r>
      </w:hyperlink>
      <w:r w:rsidRPr="009B392E">
        <w:rPr>
          <w:rFonts w:ascii="Times New Roman" w:hAnsi="Times New Roman"/>
          <w:i/>
          <w:iCs/>
          <w:color w:val="4472C4" w:themeColor="accent1"/>
        </w:rPr>
        <w:t xml:space="preserve"> </w:t>
      </w:r>
    </w:p>
    <w:p w14:paraId="73889AB9" w14:textId="77777777" w:rsidR="009B392E" w:rsidRDefault="009B392E" w:rsidP="00D865DC">
      <w:pPr>
        <w:pStyle w:val="Body"/>
        <w:spacing w:line="276" w:lineRule="auto"/>
        <w:jc w:val="both"/>
        <w:rPr>
          <w:rFonts w:ascii="Times New Roman" w:eastAsia="Times New Roman" w:hAnsi="Times New Roman" w:cs="Times New Roman"/>
        </w:rPr>
      </w:pPr>
    </w:p>
    <w:p w14:paraId="456BC48B" w14:textId="116DF56E" w:rsidR="001D7C10" w:rsidRDefault="00DD4CEF" w:rsidP="00D865DC">
      <w:pPr>
        <w:pStyle w:val="Body"/>
        <w:spacing w:line="276" w:lineRule="auto"/>
        <w:jc w:val="both"/>
        <w:rPr>
          <w:rFonts w:ascii="Times New Roman" w:hAnsi="Times New Roman"/>
          <w:b/>
          <w:bCs/>
        </w:rPr>
      </w:pPr>
      <w:r>
        <w:rPr>
          <w:rFonts w:ascii="Times New Roman" w:hAnsi="Times New Roman"/>
          <w:b/>
          <w:bCs/>
        </w:rPr>
        <w:t xml:space="preserve">In </w:t>
      </w:r>
      <w:proofErr w:type="spellStart"/>
      <w:r>
        <w:rPr>
          <w:rFonts w:ascii="Times New Roman" w:hAnsi="Times New Roman"/>
          <w:b/>
          <w:bCs/>
        </w:rPr>
        <w:t>favour</w:t>
      </w:r>
      <w:proofErr w:type="spellEnd"/>
      <w:r>
        <w:rPr>
          <w:rFonts w:ascii="Times New Roman" w:hAnsi="Times New Roman"/>
          <w:b/>
          <w:bCs/>
        </w:rPr>
        <w:t xml:space="preserve"> of Materialism</w:t>
      </w:r>
    </w:p>
    <w:p w14:paraId="426D4651" w14:textId="77777777" w:rsidR="00D865DC" w:rsidRDefault="00D865DC" w:rsidP="00D865DC">
      <w:pPr>
        <w:pStyle w:val="Body"/>
        <w:spacing w:line="276" w:lineRule="auto"/>
        <w:jc w:val="both"/>
        <w:rPr>
          <w:rFonts w:ascii="Times New Roman" w:eastAsia="Times New Roman" w:hAnsi="Times New Roman" w:cs="Times New Roman"/>
          <w:b/>
          <w:bCs/>
        </w:rPr>
      </w:pPr>
    </w:p>
    <w:p w14:paraId="430D93D4" w14:textId="2369F95E" w:rsidR="001D7C10" w:rsidRDefault="00DD4CEF" w:rsidP="00D865DC">
      <w:pPr>
        <w:pStyle w:val="Body"/>
        <w:spacing w:line="276" w:lineRule="auto"/>
        <w:jc w:val="both"/>
        <w:rPr>
          <w:rFonts w:ascii="Times New Roman" w:eastAsia="Times New Roman" w:hAnsi="Times New Roman" w:cs="Times New Roman"/>
        </w:rPr>
      </w:pPr>
      <w:r>
        <w:rPr>
          <w:rFonts w:ascii="Times New Roman" w:hAnsi="Times New Roman"/>
        </w:rPr>
        <w:t>Ryle, Gilbert, ‘</w:t>
      </w:r>
      <w:r>
        <w:rPr>
          <w:rFonts w:ascii="Times New Roman" w:hAnsi="Times New Roman"/>
          <w:lang w:val="pt-PT"/>
        </w:rPr>
        <w:t>Descartes Myth</w:t>
      </w:r>
      <w:r>
        <w:rPr>
          <w:rFonts w:ascii="Times New Roman" w:hAnsi="Times New Roman"/>
        </w:rPr>
        <w:t xml:space="preserve">’ in </w:t>
      </w:r>
      <w:r w:rsidR="00B47961">
        <w:rPr>
          <w:rFonts w:ascii="Times New Roman" w:hAnsi="Times New Roman"/>
          <w:i/>
          <w:iCs/>
        </w:rPr>
        <w:t xml:space="preserve">The Concept of Mind, </w:t>
      </w:r>
      <w:hyperlink r:id="rId14" w:history="1">
        <w:r w:rsidR="00B47961" w:rsidRPr="00B47961">
          <w:rPr>
            <w:rStyle w:val="Hyperlink"/>
            <w:rFonts w:ascii="Times New Roman" w:hAnsi="Times New Roman"/>
            <w:color w:val="4472C4" w:themeColor="accent1"/>
          </w:rPr>
          <w:t>http://faculty.arts.ubc.ca/maydede/mind/Ryle_DescartesMyth.pdf</w:t>
        </w:r>
      </w:hyperlink>
      <w:r w:rsidR="00B47961" w:rsidRPr="00B47961">
        <w:rPr>
          <w:rFonts w:ascii="Times New Roman" w:hAnsi="Times New Roman"/>
          <w:color w:val="4472C4" w:themeColor="accent1"/>
        </w:rPr>
        <w:t xml:space="preserve"> </w:t>
      </w:r>
    </w:p>
    <w:p w14:paraId="69D3A9E7" w14:textId="31D443F9" w:rsidR="009B392E" w:rsidRDefault="00B47961" w:rsidP="00D865DC">
      <w:pPr>
        <w:pStyle w:val="FootnoteText"/>
        <w:spacing w:before="240" w:line="276" w:lineRule="auto"/>
        <w:rPr>
          <w:rFonts w:ascii="Times New Roman" w:hAnsi="Times New Roman"/>
          <w:sz w:val="22"/>
          <w:szCs w:val="22"/>
        </w:rPr>
      </w:pPr>
      <w:r>
        <w:rPr>
          <w:rFonts w:ascii="Times New Roman" w:hAnsi="Times New Roman"/>
          <w:sz w:val="22"/>
          <w:szCs w:val="22"/>
        </w:rPr>
        <w:t xml:space="preserve">Correspondence between Descartes and Princess Elizabeth 1643-1649 </w:t>
      </w:r>
      <w:r>
        <w:rPr>
          <w:rFonts w:ascii="Times New Roman" w:hAnsi="Times New Roman"/>
          <w:sz w:val="22"/>
          <w:szCs w:val="22"/>
        </w:rPr>
        <w:sym w:font="Symbol" w:char="F05B"/>
      </w:r>
      <w:r>
        <w:rPr>
          <w:rFonts w:ascii="Times New Roman" w:hAnsi="Times New Roman"/>
          <w:sz w:val="22"/>
          <w:szCs w:val="22"/>
        </w:rPr>
        <w:t xml:space="preserve">Accessed from Early Modern Texts,  </w:t>
      </w:r>
      <w:hyperlink r:id="rId15" w:history="1">
        <w:r w:rsidRPr="00B47961">
          <w:rPr>
            <w:rStyle w:val="Hyperlink"/>
            <w:rFonts w:ascii="Times New Roman" w:hAnsi="Times New Roman"/>
            <w:color w:val="4472C4" w:themeColor="accent1"/>
            <w:sz w:val="22"/>
            <w:szCs w:val="22"/>
          </w:rPr>
          <w:t>https://www.earlymoderntexts.com/assets/pdfs/descartes1643.pdf</w:t>
        </w:r>
      </w:hyperlink>
      <w:r w:rsidRPr="00B47961">
        <w:rPr>
          <w:rFonts w:ascii="Times New Roman" w:hAnsi="Times New Roman"/>
          <w:color w:val="4472C4" w:themeColor="accent1"/>
          <w:sz w:val="22"/>
          <w:szCs w:val="22"/>
        </w:rPr>
        <w:t xml:space="preserve"> </w:t>
      </w:r>
      <w:r w:rsidRPr="00B47961">
        <w:rPr>
          <w:rFonts w:ascii="Times New Roman" w:hAnsi="Times New Roman"/>
          <w:color w:val="000000" w:themeColor="text1"/>
          <w:sz w:val="22"/>
          <w:szCs w:val="22"/>
        </w:rPr>
        <w:sym w:font="Symbol" w:char="F05D"/>
      </w:r>
    </w:p>
    <w:p w14:paraId="1F6E71C1" w14:textId="77777777" w:rsidR="00D865DC" w:rsidRDefault="00D865DC" w:rsidP="00D865DC">
      <w:pPr>
        <w:pStyle w:val="FootnoteText"/>
        <w:spacing w:before="240" w:line="276" w:lineRule="auto"/>
        <w:rPr>
          <w:rFonts w:ascii="Times New Roman" w:hAnsi="Times New Roman" w:cs="Times New Roman"/>
          <w:sz w:val="22"/>
          <w:szCs w:val="22"/>
        </w:rPr>
      </w:pPr>
    </w:p>
    <w:p w14:paraId="33BD1AD0" w14:textId="5F822912" w:rsidR="009B392E" w:rsidRDefault="009B392E" w:rsidP="00D865DC">
      <w:pPr>
        <w:pStyle w:val="FootnoteText"/>
        <w:spacing w:before="240" w:line="276" w:lineRule="auto"/>
        <w:rPr>
          <w:rFonts w:ascii="Times New Roman" w:hAnsi="Times New Roman" w:cs="Times New Roman"/>
          <w:sz w:val="22"/>
          <w:szCs w:val="22"/>
        </w:rPr>
      </w:pPr>
      <w:r w:rsidRPr="009B392E">
        <w:rPr>
          <w:rFonts w:ascii="Times New Roman" w:hAnsi="Times New Roman" w:cs="Times New Roman"/>
          <w:sz w:val="22"/>
          <w:szCs w:val="22"/>
        </w:rPr>
        <w:t xml:space="preserve">Levine, Joseph, 1983, ‘Materialism and Qualia: The Explanatory Gap’ in </w:t>
      </w:r>
      <w:r w:rsidRPr="009B392E">
        <w:rPr>
          <w:rFonts w:ascii="Times New Roman" w:hAnsi="Times New Roman" w:cs="Times New Roman"/>
          <w:i/>
          <w:iCs/>
          <w:sz w:val="22"/>
          <w:szCs w:val="22"/>
        </w:rPr>
        <w:t xml:space="preserve">Pacific Philosophical Quarterly, Volume 64, Issue 4 </w:t>
      </w:r>
      <w:r w:rsidRPr="009B392E">
        <w:rPr>
          <w:rFonts w:ascii="Times New Roman" w:hAnsi="Times New Roman" w:cs="Times New Roman"/>
          <w:sz w:val="22"/>
          <w:szCs w:val="22"/>
        </w:rPr>
        <w:sym w:font="Symbol" w:char="F05B"/>
      </w:r>
      <w:r w:rsidRPr="009B392E">
        <w:rPr>
          <w:rFonts w:ascii="Times New Roman" w:hAnsi="Times New Roman" w:cs="Times New Roman"/>
          <w:sz w:val="22"/>
          <w:szCs w:val="22"/>
        </w:rPr>
        <w:t xml:space="preserve">Accessed from the Wiley Online Library: </w:t>
      </w:r>
      <w:hyperlink r:id="rId16" w:history="1">
        <w:r w:rsidRPr="009B392E">
          <w:rPr>
            <w:rStyle w:val="Hyperlink"/>
            <w:rFonts w:ascii="Times New Roman" w:hAnsi="Times New Roman" w:cs="Times New Roman"/>
            <w:color w:val="4472C4" w:themeColor="accent1"/>
            <w:sz w:val="22"/>
            <w:szCs w:val="22"/>
          </w:rPr>
          <w:t>https://onlinelibrary.wiley.com/doi/abs/10.1111/j.1468-0114.1983.tb00207.x</w:t>
        </w:r>
      </w:hyperlink>
      <w:r w:rsidRPr="009B392E">
        <w:rPr>
          <w:rFonts w:ascii="Times New Roman" w:hAnsi="Times New Roman" w:cs="Times New Roman"/>
          <w:sz w:val="22"/>
          <w:szCs w:val="22"/>
        </w:rPr>
        <w:t xml:space="preserve"> </w:t>
      </w:r>
      <w:r w:rsidRPr="009B392E">
        <w:rPr>
          <w:rFonts w:ascii="Times New Roman" w:hAnsi="Times New Roman" w:cs="Times New Roman"/>
          <w:sz w:val="22"/>
          <w:szCs w:val="22"/>
        </w:rPr>
        <w:sym w:font="Symbol" w:char="F05D"/>
      </w:r>
    </w:p>
    <w:p w14:paraId="24A5FA8A" w14:textId="18E5231B" w:rsidR="009B392E" w:rsidRPr="00B47961" w:rsidRDefault="009B392E" w:rsidP="00D865DC">
      <w:pPr>
        <w:pStyle w:val="FootnoteText"/>
        <w:spacing w:before="240" w:line="276" w:lineRule="auto"/>
        <w:rPr>
          <w:rFonts w:ascii="Times New Roman" w:hAnsi="Times New Roman" w:cs="Times New Roman"/>
          <w:sz w:val="22"/>
          <w:szCs w:val="22"/>
        </w:rPr>
      </w:pPr>
      <w:proofErr w:type="spellStart"/>
      <w:r>
        <w:rPr>
          <w:rFonts w:ascii="Times New Roman" w:hAnsi="Times New Roman" w:cs="Times New Roman"/>
          <w:sz w:val="22"/>
          <w:szCs w:val="22"/>
        </w:rPr>
        <w:t>Dennet</w:t>
      </w:r>
      <w:proofErr w:type="spellEnd"/>
      <w:r>
        <w:rPr>
          <w:rFonts w:ascii="Times New Roman" w:hAnsi="Times New Roman" w:cs="Times New Roman"/>
          <w:sz w:val="22"/>
          <w:szCs w:val="22"/>
        </w:rPr>
        <w:t xml:space="preserve">, Daniel, </w:t>
      </w:r>
      <w:r>
        <w:rPr>
          <w:rFonts w:ascii="Times New Roman" w:hAnsi="Times New Roman" w:cs="Times New Roman"/>
          <w:i/>
          <w:iCs/>
          <w:sz w:val="22"/>
          <w:szCs w:val="22"/>
        </w:rPr>
        <w:t>Consciousness Explained</w:t>
      </w:r>
      <w:r w:rsidR="00B47961">
        <w:rPr>
          <w:rFonts w:ascii="Times New Roman" w:hAnsi="Times New Roman" w:cs="Times New Roman"/>
          <w:i/>
          <w:iCs/>
          <w:sz w:val="22"/>
          <w:szCs w:val="22"/>
        </w:rPr>
        <w:t xml:space="preserve">, </w:t>
      </w:r>
      <w:r w:rsidR="00B47961">
        <w:rPr>
          <w:rFonts w:ascii="Times New Roman" w:hAnsi="Times New Roman" w:cs="Times New Roman"/>
          <w:sz w:val="22"/>
          <w:szCs w:val="22"/>
        </w:rPr>
        <w:t xml:space="preserve">(Back Bay Books: New York, 1991) </w:t>
      </w:r>
      <w:hyperlink r:id="rId17" w:history="1">
        <w:r w:rsidR="00B47961" w:rsidRPr="00B47961">
          <w:rPr>
            <w:rStyle w:val="Hyperlink"/>
            <w:rFonts w:ascii="Times New Roman" w:hAnsi="Times New Roman" w:cs="Times New Roman"/>
            <w:color w:val="4472C4" w:themeColor="accent1"/>
            <w:sz w:val="22"/>
            <w:szCs w:val="22"/>
          </w:rPr>
          <w:t>https://zodml.org/sites/default/files/%5BDaniel_C._Dennett%5D_Consciousness_Explained.pdf</w:t>
        </w:r>
      </w:hyperlink>
      <w:r w:rsidR="00B47961" w:rsidRPr="00B47961">
        <w:rPr>
          <w:rFonts w:ascii="Times New Roman" w:hAnsi="Times New Roman" w:cs="Times New Roman"/>
          <w:color w:val="4472C4" w:themeColor="accent1"/>
          <w:sz w:val="22"/>
          <w:szCs w:val="22"/>
        </w:rPr>
        <w:t xml:space="preserve"> </w:t>
      </w:r>
    </w:p>
    <w:sectPr w:rsidR="009B392E" w:rsidRPr="00B47961">
      <w:headerReference w:type="default" r:id="rId18"/>
      <w:footerReference w:type="default" r:id="rId1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4FB8D" w14:textId="77777777" w:rsidR="00581B20" w:rsidRDefault="00581B20">
      <w:r>
        <w:separator/>
      </w:r>
    </w:p>
  </w:endnote>
  <w:endnote w:type="continuationSeparator" w:id="0">
    <w:p w14:paraId="4E3B014D" w14:textId="77777777" w:rsidR="00581B20" w:rsidRDefault="0058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Gill Sans Nova Cond">
    <w:panose1 w:val="020B0606020104020203"/>
    <w:charset w:val="00"/>
    <w:family w:val="roman"/>
    <w:pitch w:val="default"/>
  </w:font>
  <w:font w:name="Symbol">
    <w:panose1 w:val="05050102010706020507"/>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15315" w14:textId="77777777" w:rsidR="00DD4CEF" w:rsidRDefault="00DD4C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78B7" w14:textId="77777777" w:rsidR="00581B20" w:rsidRDefault="00581B20">
      <w:r>
        <w:separator/>
      </w:r>
    </w:p>
  </w:footnote>
  <w:footnote w:type="continuationSeparator" w:id="0">
    <w:p w14:paraId="44BCC7BA" w14:textId="77777777" w:rsidR="00581B20" w:rsidRDefault="0058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DE12" w14:textId="77777777" w:rsidR="00DD4CEF" w:rsidRDefault="00DD4CEF">
    <w:pPr>
      <w:pStyle w:val="Header"/>
      <w:tabs>
        <w:tab w:val="clear" w:pos="9026"/>
        <w:tab w:val="right" w:pos="9000"/>
      </w:tabs>
    </w:pPr>
    <w:r>
      <w:rPr>
        <w:noProof/>
      </w:rPr>
      <w:drawing>
        <wp:inline distT="0" distB="0" distL="0" distR="0" wp14:anchorId="5BE8203B" wp14:editId="73296713">
          <wp:extent cx="1155600" cy="568800"/>
          <wp:effectExtent l="0" t="0" r="0" b="0"/>
          <wp:docPr id="1073741825" name="officeArt object" descr="Untitled.png"/>
          <wp:cNvGraphicFramePr/>
          <a:graphic xmlns:a="http://schemas.openxmlformats.org/drawingml/2006/main">
            <a:graphicData uri="http://schemas.openxmlformats.org/drawingml/2006/picture">
              <pic:pic xmlns:pic="http://schemas.openxmlformats.org/drawingml/2006/picture">
                <pic:nvPicPr>
                  <pic:cNvPr id="1073741825" name="Untitled.png" descr="Untitled.png"/>
                  <pic:cNvPicPr>
                    <a:picLocks noChangeAspect="1"/>
                  </pic:cNvPicPr>
                </pic:nvPicPr>
                <pic:blipFill>
                  <a:blip r:embed="rId1"/>
                  <a:stretch>
                    <a:fillRect/>
                  </a:stretch>
                </pic:blipFill>
                <pic:spPr>
                  <a:xfrm>
                    <a:off x="0" y="0"/>
                    <a:ext cx="1155600" cy="568800"/>
                  </a:xfrm>
                  <a:prstGeom prst="rect">
                    <a:avLst/>
                  </a:prstGeom>
                  <a:ln w="12700" cap="flat">
                    <a:noFill/>
                    <a:miter lim="400000"/>
                  </a:ln>
                  <a:effectLst/>
                </pic:spPr>
              </pic:pic>
            </a:graphicData>
          </a:graphic>
        </wp:inline>
      </w:drawing>
    </w:r>
    <w:r>
      <w:t xml:space="preserve">                                                                                                        </w:t>
    </w:r>
    <w:r>
      <w:rPr>
        <w:noProof/>
      </w:rPr>
      <w:drawing>
        <wp:inline distT="0" distB="0" distL="0" distR="0" wp14:anchorId="16643678" wp14:editId="1D8A6918">
          <wp:extent cx="1281600" cy="568800"/>
          <wp:effectExtent l="0" t="0" r="0" b="0"/>
          <wp:docPr id="1073741826" name="officeArt object" descr="st-andrews_logo.png"/>
          <wp:cNvGraphicFramePr/>
          <a:graphic xmlns:a="http://schemas.openxmlformats.org/drawingml/2006/main">
            <a:graphicData uri="http://schemas.openxmlformats.org/drawingml/2006/picture">
              <pic:pic xmlns:pic="http://schemas.openxmlformats.org/drawingml/2006/picture">
                <pic:nvPicPr>
                  <pic:cNvPr id="1073741826" name="st-andrews_logo.png" descr="st-andrews_logo.png"/>
                  <pic:cNvPicPr>
                    <a:picLocks noChangeAspect="1"/>
                  </pic:cNvPicPr>
                </pic:nvPicPr>
                <pic:blipFill>
                  <a:blip r:embed="rId2"/>
                  <a:stretch>
                    <a:fillRect/>
                  </a:stretch>
                </pic:blipFill>
                <pic:spPr>
                  <a:xfrm>
                    <a:off x="0" y="0"/>
                    <a:ext cx="1281600" cy="5688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C10"/>
    <w:rsid w:val="000C385E"/>
    <w:rsid w:val="001A2A35"/>
    <w:rsid w:val="001C74D0"/>
    <w:rsid w:val="001D7C10"/>
    <w:rsid w:val="00210903"/>
    <w:rsid w:val="00242B30"/>
    <w:rsid w:val="00297C56"/>
    <w:rsid w:val="003D21C5"/>
    <w:rsid w:val="00406DE1"/>
    <w:rsid w:val="00441F66"/>
    <w:rsid w:val="00474A30"/>
    <w:rsid w:val="00506155"/>
    <w:rsid w:val="00581B20"/>
    <w:rsid w:val="00743261"/>
    <w:rsid w:val="007D2327"/>
    <w:rsid w:val="008C128D"/>
    <w:rsid w:val="009B392E"/>
    <w:rsid w:val="00AF5DCD"/>
    <w:rsid w:val="00B35690"/>
    <w:rsid w:val="00B47961"/>
    <w:rsid w:val="00BA2D4B"/>
    <w:rsid w:val="00C014C3"/>
    <w:rsid w:val="00D2723D"/>
    <w:rsid w:val="00D4007B"/>
    <w:rsid w:val="00D865DC"/>
    <w:rsid w:val="00DD4CEF"/>
    <w:rsid w:val="00EC6A76"/>
    <w:rsid w:val="00F973D7"/>
    <w:rsid w:val="00FC4D85"/>
    <w:rsid w:val="00FD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0D1E"/>
  <w15:docId w15:val="{4096D9B8-0A1A-49C6-9DFC-D11DA924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FootnoteText">
    <w:name w:val="footnote text"/>
    <w:rPr>
      <w:rFonts w:ascii="Calibri" w:eastAsia="Calibri" w:hAnsi="Calibri" w:cs="Calibri"/>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4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CEF"/>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406DE1"/>
    <w:rPr>
      <w:b/>
      <w:bCs/>
    </w:rPr>
  </w:style>
  <w:style w:type="character" w:customStyle="1" w:styleId="CommentSubjectChar">
    <w:name w:val="Comment Subject Char"/>
    <w:basedOn w:val="CommentTextChar"/>
    <w:link w:val="CommentSubject"/>
    <w:uiPriority w:val="99"/>
    <w:semiHidden/>
    <w:rsid w:val="00406DE1"/>
    <w:rPr>
      <w:b/>
      <w:bCs/>
      <w:lang w:val="en-US" w:eastAsia="en-US"/>
    </w:rPr>
  </w:style>
  <w:style w:type="character" w:styleId="UnresolvedMention">
    <w:name w:val="Unresolved Mention"/>
    <w:basedOn w:val="DefaultParagraphFont"/>
    <w:uiPriority w:val="99"/>
    <w:semiHidden/>
    <w:unhideWhenUsed/>
    <w:rsid w:val="00B35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dfs.semanticscholar.org/d5f0/b1d40bd79be8ec2419e824771300ac5db204.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fu.ca/~jillmc/JacksonfromJStore.pdf" TargetMode="External"/><Relationship Id="rId17" Type="http://schemas.openxmlformats.org/officeDocument/2006/relationships/hyperlink" Target="https://zodml.org/sites/default/files/%5BDaniel_C._Dennett%5D_Consciousness_Explained.pdf" TargetMode="External"/><Relationship Id="rId2" Type="http://schemas.openxmlformats.org/officeDocument/2006/relationships/styles" Target="styles.xml"/><Relationship Id="rId16" Type="http://schemas.openxmlformats.org/officeDocument/2006/relationships/hyperlink" Target="https://onlinelibrary.wiley.com/doi/abs/10.1111/j.1468-0114.1983.tb00207.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fpace.uconn.edu/class/percep/DescartesMeditations.pdf" TargetMode="External"/><Relationship Id="rId5" Type="http://schemas.openxmlformats.org/officeDocument/2006/relationships/footnotes" Target="footnotes.xml"/><Relationship Id="rId15" Type="http://schemas.openxmlformats.org/officeDocument/2006/relationships/hyperlink" Target="https://www.earlymoderntexts.com/assets/pdfs/descartes1643.pdf" TargetMode="External"/><Relationship Id="rId10" Type="http://schemas.openxmlformats.org/officeDocument/2006/relationships/hyperlink" Target="http://ghiraldelli.pro.br/wp-content/uploads/The-Conscious-Mind-Chalmers-David.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faculty.arts.ubc.ca/maydede/mind/Ryle_DescartesMyth.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DFCB-31B0-4F1D-949A-B7D4BD94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Smith</cp:lastModifiedBy>
  <cp:revision>2</cp:revision>
  <dcterms:created xsi:type="dcterms:W3CDTF">2019-08-04T15:45:00Z</dcterms:created>
  <dcterms:modified xsi:type="dcterms:W3CDTF">2019-08-04T15:45:00Z</dcterms:modified>
</cp:coreProperties>
</file>